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8802B">
      <w:pPr>
        <w:pStyle w:val="8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基金投资者风险测评问卷</w:t>
      </w:r>
    </w:p>
    <w:p w14:paraId="41EDBC6C">
      <w:pPr>
        <w:pStyle w:val="8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（个人版）</w:t>
      </w:r>
    </w:p>
    <w:p w14:paraId="3CEA9EF4">
      <w:pPr>
        <w:pStyle w:val="8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sz w:val="32"/>
          <w:szCs w:val="32"/>
        </w:rPr>
        <w:t>投资者姓名：</w:t>
      </w:r>
      <w:r>
        <w:rPr>
          <w:rFonts w:cs="Times New Roman" w:asciiTheme="minorEastAsia" w:hAnsiTheme="minorEastAsia" w:eastAsiaTheme="minorEastAsia"/>
          <w:sz w:val="32"/>
          <w:szCs w:val="32"/>
        </w:rPr>
        <w:t>________</w:t>
      </w:r>
      <w:r>
        <w:rPr>
          <w:rFonts w:hint="eastAsia" w:cs="Times New Roman" w:asciiTheme="minorEastAsia" w:hAnsiTheme="minorEastAsia" w:eastAsiaTheme="minorEastAsia"/>
          <w:sz w:val="32"/>
          <w:szCs w:val="32"/>
        </w:rPr>
        <w:t>__</w:t>
      </w:r>
      <w:r>
        <w:rPr>
          <w:rFonts w:cs="Times New Roman" w:asciiTheme="minorEastAsia" w:hAnsiTheme="minorEastAsia" w:eastAsiaTheme="minorEastAsia"/>
          <w:sz w:val="32"/>
          <w:szCs w:val="32"/>
        </w:rPr>
        <w:t xml:space="preserve">____ </w:t>
      </w:r>
      <w:r>
        <w:rPr>
          <w:rFonts w:hint="eastAsia" w:asciiTheme="minorEastAsia" w:hAnsiTheme="minorEastAsia" w:eastAsiaTheme="minorEastAsia"/>
          <w:sz w:val="32"/>
          <w:szCs w:val="32"/>
        </w:rPr>
        <w:t>填写日期：</w:t>
      </w:r>
      <w:r>
        <w:rPr>
          <w:rFonts w:cs="Times New Roman" w:asciiTheme="minorEastAsia" w:hAnsiTheme="minorEastAsia" w:eastAsiaTheme="minorEastAsia"/>
          <w:sz w:val="32"/>
          <w:szCs w:val="32"/>
        </w:rPr>
        <w:t>_____________</w:t>
      </w:r>
    </w:p>
    <w:p w14:paraId="07AC831E">
      <w:pPr>
        <w:pStyle w:val="8"/>
        <w:ind w:firstLine="0" w:firstLineChars="0"/>
        <w:contextualSpacing/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尊敬的投资者：</w:t>
      </w:r>
    </w:p>
    <w:p w14:paraId="692FC6F2">
      <w:pPr>
        <w:pStyle w:val="8"/>
        <w:ind w:firstLine="0" w:firstLineChars="0"/>
        <w:contextualSpacing/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本公司向您销售的产品或提供的服务将以您的风险承受能力、投资目标和投资品种、期限为基础，烦请仔细阅读题目，选出每个题目中最合适您的选项。若您提供的信息发生任何重大变化，请及时更新。</w:t>
      </w:r>
    </w:p>
    <w:p w14:paraId="592F3D30">
      <w:pPr>
        <w:pStyle w:val="8"/>
        <w:tabs>
          <w:tab w:val="left" w:pos="2685"/>
        </w:tabs>
        <w:contextualSpacing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普通投资者</w:t>
      </w:r>
      <w:r>
        <w:rPr>
          <w:rFonts w:hint="eastAsia" w:asciiTheme="minorEastAsia" w:hAnsiTheme="minorEastAsia" w:eastAsiaTheme="minorEastAsia"/>
          <w:sz w:val="21"/>
          <w:szCs w:val="21"/>
        </w:rPr>
        <w:t>风险承受能力评估结果有效期为12个月。超过12个月未重新评估，或您的收入、资产、投资经验等个人情况发生可能影响风险承受能力的重大变化时，依据监管要求，在您再次购买基金前，本公司需对您的风险承受能力重新进行评估，以确保您的投资决策与您的实际风险承受能力相匹配。</w:t>
      </w:r>
    </w:p>
    <w:p w14:paraId="3483C6D8">
      <w:pPr>
        <w:pStyle w:val="8"/>
        <w:tabs>
          <w:tab w:val="left" w:pos="2685"/>
        </w:tabs>
        <w:contextualSpacing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cs="Times New Roman" w:asciiTheme="minorEastAsia" w:hAnsiTheme="minorEastAsia" w:eastAsiaTheme="minorEastAsia"/>
          <w:b/>
          <w:sz w:val="21"/>
          <w:szCs w:val="21"/>
        </w:rPr>
        <w:t>1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、您的主要收入来源是</w:t>
      </w:r>
      <w:r>
        <w:rPr>
          <w:rFonts w:hint="eastAsia" w:asciiTheme="minorEastAsia" w:hAnsiTheme="minorEastAsia" w:eastAsiaTheme="minorEastAsia"/>
          <w:b/>
          <w:sz w:val="21"/>
          <w:szCs w:val="21"/>
          <w:lang w:eastAsia="zh-CN"/>
        </w:rPr>
        <w:t>：</w:t>
      </w:r>
      <w:r>
        <w:rPr>
          <w:rFonts w:asciiTheme="minorEastAsia" w:hAnsiTheme="minorEastAsia" w:eastAsiaTheme="minorEastAsia"/>
          <w:b/>
          <w:sz w:val="21"/>
          <w:szCs w:val="21"/>
        </w:rPr>
        <w:tab/>
      </w:r>
      <w:bookmarkStart w:id="0" w:name="_GoBack"/>
      <w:bookmarkEnd w:id="0"/>
    </w:p>
    <w:p w14:paraId="1DF4BD74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A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</w:rPr>
        <w:t>工资、劳务报酬</w:t>
      </w:r>
    </w:p>
    <w:p w14:paraId="76E0E609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B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</w:rPr>
        <w:t>生产经营所得</w:t>
      </w:r>
    </w:p>
    <w:p w14:paraId="5CF6F5E9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C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</w:rPr>
        <w:t>利息、股息、转让等金融性资产收入</w:t>
      </w:r>
    </w:p>
    <w:p w14:paraId="5DFE1184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D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</w:rPr>
        <w:t>出租、出售房地产等非金融性资产收入</w:t>
      </w:r>
    </w:p>
    <w:p w14:paraId="17C415CA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E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</w:rPr>
        <w:t>无固定收入</w:t>
      </w:r>
    </w:p>
    <w:p w14:paraId="6BE60B07">
      <w:pPr>
        <w:pStyle w:val="8"/>
        <w:contextualSpacing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cs="Times New Roman" w:asciiTheme="minorEastAsia" w:hAnsiTheme="minorEastAsia" w:eastAsiaTheme="minorEastAsia"/>
          <w:b/>
          <w:sz w:val="21"/>
          <w:szCs w:val="21"/>
        </w:rPr>
        <w:t>2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、您的家庭可支配年收入为（折合人民币）？</w:t>
      </w:r>
    </w:p>
    <w:p w14:paraId="434D4B58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A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cs="Times New Roman" w:asciiTheme="minorEastAsia" w:hAnsiTheme="minorEastAsia" w:eastAsiaTheme="minorEastAsia"/>
          <w:sz w:val="21"/>
          <w:szCs w:val="21"/>
        </w:rPr>
        <w:t>50</w:t>
      </w:r>
      <w:r>
        <w:rPr>
          <w:rFonts w:hint="eastAsia" w:asciiTheme="minorEastAsia" w:hAnsiTheme="minorEastAsia" w:eastAsiaTheme="minorEastAsia"/>
          <w:sz w:val="21"/>
          <w:szCs w:val="21"/>
        </w:rPr>
        <w:t>万元以下</w:t>
      </w:r>
    </w:p>
    <w:p w14:paraId="31C56A01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B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cs="Times New Roman" w:asciiTheme="minorEastAsia" w:hAnsiTheme="minorEastAsia" w:eastAsiaTheme="minorEastAsia"/>
          <w:sz w:val="21"/>
          <w:szCs w:val="21"/>
        </w:rPr>
        <w:t>50</w:t>
      </w:r>
      <w:r>
        <w:rPr>
          <w:rFonts w:asciiTheme="minorEastAsia" w:hAnsiTheme="minorEastAsia" w:eastAsiaTheme="minorEastAsia"/>
          <w:sz w:val="21"/>
          <w:szCs w:val="21"/>
        </w:rPr>
        <w:t>—</w:t>
      </w:r>
      <w:r>
        <w:rPr>
          <w:rFonts w:cs="Times New Roman" w:asciiTheme="minorEastAsia" w:hAnsiTheme="minorEastAsia" w:eastAsiaTheme="minorEastAsia"/>
          <w:sz w:val="21"/>
          <w:szCs w:val="21"/>
        </w:rPr>
        <w:t>100</w:t>
      </w:r>
      <w:r>
        <w:rPr>
          <w:rFonts w:hint="eastAsia" w:asciiTheme="minorEastAsia" w:hAnsiTheme="minorEastAsia" w:eastAsiaTheme="minorEastAsia"/>
          <w:sz w:val="21"/>
          <w:szCs w:val="21"/>
        </w:rPr>
        <w:t>万元</w:t>
      </w:r>
    </w:p>
    <w:p w14:paraId="579BE2CB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C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cs="Times New Roman" w:asciiTheme="minorEastAsia" w:hAnsiTheme="minorEastAsia" w:eastAsiaTheme="minorEastAsia"/>
          <w:sz w:val="21"/>
          <w:szCs w:val="21"/>
        </w:rPr>
        <w:t>100</w:t>
      </w:r>
      <w:r>
        <w:rPr>
          <w:rFonts w:asciiTheme="minorEastAsia" w:hAnsiTheme="minorEastAsia" w:eastAsiaTheme="minorEastAsia"/>
          <w:sz w:val="21"/>
          <w:szCs w:val="21"/>
        </w:rPr>
        <w:t>—</w:t>
      </w:r>
      <w:r>
        <w:rPr>
          <w:rFonts w:cs="Times New Roman" w:asciiTheme="minorEastAsia" w:hAnsiTheme="minorEastAsia" w:eastAsiaTheme="minorEastAsia"/>
          <w:sz w:val="21"/>
          <w:szCs w:val="21"/>
        </w:rPr>
        <w:t>500</w:t>
      </w:r>
      <w:r>
        <w:rPr>
          <w:rFonts w:hint="eastAsia" w:asciiTheme="minorEastAsia" w:hAnsiTheme="minorEastAsia" w:eastAsiaTheme="minorEastAsia"/>
          <w:sz w:val="21"/>
          <w:szCs w:val="21"/>
        </w:rPr>
        <w:t>万元</w:t>
      </w:r>
    </w:p>
    <w:p w14:paraId="3CC4A0B1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cs="Times New Roman" w:asciiTheme="minorEastAsia" w:hAnsiTheme="minorEastAsia" w:eastAsiaTheme="minorEastAsia"/>
          <w:sz w:val="21"/>
          <w:szCs w:val="21"/>
        </w:rPr>
        <w:t>D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、</w:t>
      </w:r>
      <w:r>
        <w:rPr>
          <w:rFonts w:cs="Times New Roman" w:asciiTheme="minorEastAsia" w:hAnsiTheme="minorEastAsia" w:eastAsiaTheme="minorEastAsia"/>
          <w:sz w:val="21"/>
          <w:szCs w:val="21"/>
        </w:rPr>
        <w:t>500</w:t>
      </w:r>
      <w:r>
        <w:rPr>
          <w:rFonts w:asciiTheme="minorEastAsia" w:hAnsiTheme="minorEastAsia" w:eastAsiaTheme="minorEastAsia"/>
          <w:sz w:val="21"/>
          <w:szCs w:val="21"/>
        </w:rPr>
        <w:t>—</w:t>
      </w:r>
      <w:r>
        <w:rPr>
          <w:rFonts w:cs="Times New Roman" w:asciiTheme="minorEastAsia" w:hAnsiTheme="minorEastAsia" w:eastAsiaTheme="minorEastAsia"/>
          <w:sz w:val="21"/>
          <w:szCs w:val="21"/>
        </w:rPr>
        <w:t>1000</w:t>
      </w:r>
      <w:r>
        <w:rPr>
          <w:rFonts w:hint="eastAsia" w:asciiTheme="minorEastAsia" w:hAnsiTheme="minorEastAsia" w:eastAsiaTheme="minorEastAsia"/>
          <w:sz w:val="21"/>
          <w:szCs w:val="21"/>
        </w:rPr>
        <w:t>万元</w:t>
      </w:r>
    </w:p>
    <w:p w14:paraId="3907E610">
      <w:pPr>
        <w:contextualSpacing/>
        <w:rPr>
          <w:rFonts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E</w:t>
      </w:r>
      <w:r>
        <w:rPr>
          <w:rFonts w:hint="eastAsia" w:cs="Times New Roman" w:asciiTheme="minorEastAsia" w:hAnsiTheme="minorEastAsia"/>
          <w:szCs w:val="21"/>
        </w:rPr>
        <w:t>、</w:t>
      </w:r>
      <w:r>
        <w:rPr>
          <w:rFonts w:cs="Times New Roman" w:asciiTheme="minorEastAsia" w:hAnsiTheme="minorEastAsia"/>
          <w:szCs w:val="21"/>
        </w:rPr>
        <w:t>1000</w:t>
      </w:r>
      <w:r>
        <w:rPr>
          <w:rFonts w:hint="eastAsia" w:asciiTheme="minorEastAsia" w:hAnsiTheme="minorEastAsia"/>
          <w:szCs w:val="21"/>
        </w:rPr>
        <w:t>万元以上</w:t>
      </w:r>
    </w:p>
    <w:p w14:paraId="59C7F7C3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3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、在您每年的家庭可支配收入中，可用于金融投资（储蓄存款除外）的比例为？</w:t>
      </w:r>
    </w:p>
    <w:p w14:paraId="5AAFDA23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小于</w:t>
      </w:r>
      <w:r>
        <w:rPr>
          <w:rFonts w:cs="Times New Roman" w:asciiTheme="minorEastAsia" w:hAnsiTheme="minorEastAsia"/>
          <w:color w:val="000000"/>
          <w:kern w:val="0"/>
          <w:szCs w:val="21"/>
        </w:rPr>
        <w:t>10%</w:t>
      </w:r>
    </w:p>
    <w:p w14:paraId="47023114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10%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至</w:t>
      </w:r>
      <w:r>
        <w:rPr>
          <w:rFonts w:cs="Times New Roman" w:asciiTheme="minorEastAsia" w:hAnsiTheme="minorEastAsia"/>
          <w:color w:val="000000"/>
          <w:kern w:val="0"/>
          <w:szCs w:val="21"/>
        </w:rPr>
        <w:t>25%</w:t>
      </w:r>
    </w:p>
    <w:p w14:paraId="5A2D20BB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25%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至</w:t>
      </w:r>
      <w:r>
        <w:rPr>
          <w:rFonts w:cs="Times New Roman" w:asciiTheme="minorEastAsia" w:hAnsiTheme="minorEastAsia"/>
          <w:color w:val="000000"/>
          <w:kern w:val="0"/>
          <w:szCs w:val="21"/>
        </w:rPr>
        <w:t>50%</w:t>
      </w:r>
    </w:p>
    <w:p w14:paraId="59E86432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大于</w:t>
      </w:r>
      <w:r>
        <w:rPr>
          <w:rFonts w:cs="Times New Roman" w:asciiTheme="minorEastAsia" w:hAnsiTheme="minorEastAsia"/>
          <w:color w:val="000000"/>
          <w:kern w:val="0"/>
          <w:szCs w:val="21"/>
        </w:rPr>
        <w:t>50%</w:t>
      </w:r>
    </w:p>
    <w:p w14:paraId="7D177D9E">
      <w:pPr>
        <w:autoSpaceDE w:val="0"/>
        <w:autoSpaceDN w:val="0"/>
        <w:adjustRightInd w:val="0"/>
        <w:contextualSpacing/>
        <w:jc w:val="left"/>
        <w:rPr>
          <w:rFonts w:hint="eastAsia" w:cs="仿宋" w:asciiTheme="minorEastAsia" w:hAnsiTheme="minorEastAsia" w:eastAsiaTheme="minorEastAsia"/>
          <w:b/>
          <w:color w:val="000000"/>
          <w:kern w:val="0"/>
          <w:szCs w:val="21"/>
          <w:lang w:eastAsia="zh-CN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4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、您是否有尚未清偿的数额较大的债务，如有，其性质是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  <w:lang w:eastAsia="zh-CN"/>
        </w:rPr>
        <w:t>：</w:t>
      </w:r>
    </w:p>
    <w:p w14:paraId="214B2DD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没有</w:t>
      </w:r>
    </w:p>
    <w:p w14:paraId="37CA1B05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有，住房抵押贷款等长期定额债务</w:t>
      </w:r>
    </w:p>
    <w:p w14:paraId="17E9B9C2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有，信用卡欠款、消费信贷等短期信用债务</w:t>
      </w:r>
    </w:p>
    <w:p w14:paraId="089C03A0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有，亲戚朋友借款</w:t>
      </w:r>
    </w:p>
    <w:p w14:paraId="42015824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5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、您的投资知识可描述为：</w:t>
      </w:r>
    </w:p>
    <w:p w14:paraId="4AC5B98A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有限：基本没有金融产品方面的知识</w:t>
      </w:r>
    </w:p>
    <w:p w14:paraId="04DABCF4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一般：对金融产品及其相关风险具有基本的知识和理解</w:t>
      </w:r>
    </w:p>
    <w:p w14:paraId="49A4822C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丰富：对金融产品及其相关风险具有丰富的知识和理解</w:t>
      </w:r>
    </w:p>
    <w:p w14:paraId="10AA9395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6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、您的投资经验可描述为：</w:t>
      </w:r>
    </w:p>
    <w:p w14:paraId="1F1229BA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、除银行储蓄外，基本没有其他投资经验</w:t>
      </w:r>
    </w:p>
    <w:p w14:paraId="12063F4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、购买过债券、保险等理财产品</w:t>
      </w:r>
    </w:p>
    <w:p w14:paraId="4372059D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、参与过股票、基金等产品的交易</w:t>
      </w:r>
    </w:p>
    <w:p w14:paraId="4C1330ED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、参与过权证、期货、期权等产品的交易</w:t>
      </w:r>
    </w:p>
    <w:p w14:paraId="6427C9F3">
      <w:pPr>
        <w:pStyle w:val="8"/>
        <w:contextualSpacing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cs="Times New Roman" w:asciiTheme="minorEastAsia" w:hAnsiTheme="minorEastAsia" w:eastAsiaTheme="minorEastAsia"/>
          <w:b/>
          <w:sz w:val="21"/>
          <w:szCs w:val="21"/>
        </w:rPr>
        <w:t>7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、您有多少年投资基金、股票、信托、私募证券或金融衍生产品等风险投资品的经验？</w:t>
      </w:r>
    </w:p>
    <w:p w14:paraId="29A9C893">
      <w:pPr>
        <w:pStyle w:val="8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A</w:t>
      </w:r>
      <w:r>
        <w:rPr>
          <w:rFonts w:hint="eastAsia" w:asciiTheme="minorEastAsia" w:hAnsiTheme="minorEastAsia" w:eastAsiaTheme="minorEastAsia"/>
          <w:sz w:val="21"/>
          <w:szCs w:val="21"/>
        </w:rPr>
        <w:t>、没有经验</w:t>
      </w:r>
    </w:p>
    <w:p w14:paraId="4C07BBF6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、少于</w:t>
      </w:r>
      <w:r>
        <w:rPr>
          <w:rFonts w:cs="Times New Roman" w:asciiTheme="minorEastAsia" w:hAnsiTheme="minorEastAsia"/>
          <w:color w:val="000000"/>
          <w:kern w:val="0"/>
          <w:szCs w:val="21"/>
        </w:rPr>
        <w:t>2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</w:t>
      </w:r>
    </w:p>
    <w:p w14:paraId="381131E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2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至</w:t>
      </w:r>
      <w:r>
        <w:rPr>
          <w:rFonts w:cs="Times New Roman" w:asciiTheme="minorEastAsia" w:hAnsiTheme="minorEastAsia"/>
          <w:color w:val="000000"/>
          <w:kern w:val="0"/>
          <w:szCs w:val="21"/>
        </w:rPr>
        <w:t>5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</w:t>
      </w:r>
    </w:p>
    <w:p w14:paraId="2C0DFF06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5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至</w:t>
      </w:r>
      <w:r>
        <w:rPr>
          <w:rFonts w:cs="Times New Roman" w:asciiTheme="minorEastAsia" w:hAnsiTheme="minorEastAsia"/>
          <w:color w:val="000000"/>
          <w:kern w:val="0"/>
          <w:szCs w:val="21"/>
        </w:rPr>
        <w:t>10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</w:t>
      </w:r>
    </w:p>
    <w:p w14:paraId="353D7E6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E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10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年以上</w:t>
      </w:r>
    </w:p>
    <w:p w14:paraId="15EAF75C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8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、您计划的投资期限是多久？</w:t>
      </w:r>
    </w:p>
    <w:p w14:paraId="65E4F0A8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1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年以下</w:t>
      </w:r>
    </w:p>
    <w:p w14:paraId="353BF91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1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至</w:t>
      </w:r>
      <w:r>
        <w:rPr>
          <w:rFonts w:cs="Times New Roman" w:asciiTheme="minorEastAsia" w:hAnsiTheme="minorEastAsia"/>
          <w:color w:val="000000"/>
          <w:kern w:val="0"/>
          <w:szCs w:val="21"/>
        </w:rPr>
        <w:t>3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</w:t>
      </w:r>
    </w:p>
    <w:p w14:paraId="07B5848B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3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至</w:t>
      </w:r>
      <w:r>
        <w:rPr>
          <w:rFonts w:cs="Times New Roman" w:asciiTheme="minorEastAsia" w:hAnsiTheme="minorEastAsia"/>
          <w:color w:val="000000"/>
          <w:kern w:val="0"/>
          <w:szCs w:val="21"/>
        </w:rPr>
        <w:t>5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</w:t>
      </w:r>
    </w:p>
    <w:p w14:paraId="06D78407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5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年以上</w:t>
      </w:r>
    </w:p>
    <w:p w14:paraId="36AC7656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9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、您打算重点投资于哪些种类的投资品种？</w:t>
      </w:r>
    </w:p>
    <w:p w14:paraId="0B26654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债券、货币市场基金、债券基金等固定收益类投资品种</w:t>
      </w:r>
    </w:p>
    <w:p w14:paraId="6D37335E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股票、混合型基金、股票型基金等权益类投资品种</w:t>
      </w:r>
    </w:p>
    <w:p w14:paraId="5113C53D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期货、期权等金融衍生品</w:t>
      </w:r>
    </w:p>
    <w:p w14:paraId="2C8F3C0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其他产品或者服务</w:t>
      </w:r>
    </w:p>
    <w:p w14:paraId="543199DC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10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、以下哪项描述最符合您的投资态度？</w:t>
      </w:r>
    </w:p>
    <w:p w14:paraId="194815CD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、厌恶风险，不希望本金损失，希望获得稳定回报</w:t>
      </w:r>
    </w:p>
    <w:p w14:paraId="65221533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、保守投资，不希望本金损失，愿意承担一定幅度的收益波动</w:t>
      </w:r>
    </w:p>
    <w:p w14:paraId="2391BE8F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、寻求资金的较高收益和成长性，愿意为此承担有限本金损失</w:t>
      </w:r>
    </w:p>
    <w:p w14:paraId="75C9B3BF">
      <w:pPr>
        <w:contextualSpacing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、希望赚取高回报，愿意为此承担较大本金损失</w:t>
      </w:r>
    </w:p>
    <w:p w14:paraId="197F11EC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Times New Roman" w:asciiTheme="minorEastAsia" w:hAnsiTheme="minorEastAsia"/>
          <w:b/>
          <w:color w:val="000000"/>
          <w:kern w:val="0"/>
          <w:szCs w:val="21"/>
        </w:rPr>
        <w:t>11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、假设有两种投资：投资</w:t>
      </w:r>
      <w:r>
        <w:rPr>
          <w:rFonts w:cs="Times New Roman" w:asciiTheme="minorEastAsia" w:hAnsiTheme="minorEastAsia"/>
          <w:b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预期获得</w:t>
      </w:r>
      <w:r>
        <w:rPr>
          <w:rFonts w:cs="Times New Roman" w:asciiTheme="minorEastAsia" w:hAnsiTheme="minorEastAsia"/>
          <w:b/>
          <w:color w:val="000000"/>
          <w:kern w:val="0"/>
          <w:szCs w:val="21"/>
        </w:rPr>
        <w:t>10%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的收益，可能承担的损失非常小；投资</w:t>
      </w:r>
      <w:r>
        <w:rPr>
          <w:rFonts w:cs="Times New Roman" w:asciiTheme="minorEastAsia" w:hAnsiTheme="minorEastAsia"/>
          <w:b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预期获得</w:t>
      </w:r>
      <w:r>
        <w:rPr>
          <w:rFonts w:cs="Times New Roman" w:asciiTheme="minorEastAsia" w:hAnsiTheme="minorEastAsia"/>
          <w:b/>
          <w:color w:val="000000"/>
          <w:kern w:val="0"/>
          <w:szCs w:val="21"/>
        </w:rPr>
        <w:t>30%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的收益，但可能承担较大亏损。您会怎么支配您的投资：</w:t>
      </w:r>
    </w:p>
    <w:p w14:paraId="21D2B6B4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、全部投资于收益较小且风险较小的</w:t>
      </w: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</w:p>
    <w:p w14:paraId="525D9E2E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、同时投资于</w:t>
      </w: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和</w:t>
      </w: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，但大部分资金投资于收益较小且风险较小的</w:t>
      </w: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</w:p>
    <w:p w14:paraId="31036673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、同时投资于</w:t>
      </w: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和</w:t>
      </w: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，但大部分资金投资于收益较大且风险较大的</w:t>
      </w: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</w:p>
    <w:p w14:paraId="75FF666F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、全部投资于收益较大且风险较大的</w:t>
      </w: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</w:p>
    <w:p w14:paraId="5280C6A5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仿宋" w:asciiTheme="minorEastAsia" w:hAnsiTheme="minorEastAsia"/>
          <w:b/>
          <w:color w:val="000000"/>
          <w:kern w:val="0"/>
          <w:szCs w:val="21"/>
        </w:rPr>
        <w:t>12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、您认为自己能承受的最大投资损失是多少？</w:t>
      </w:r>
    </w:p>
    <w:p w14:paraId="185B5104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10%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以内</w:t>
      </w:r>
    </w:p>
    <w:p w14:paraId="6BF493CD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10%-30%</w:t>
      </w:r>
    </w:p>
    <w:p w14:paraId="0BC78098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cs="Times New Roman" w:asciiTheme="minorEastAsia" w:hAnsiTheme="minorEastAsia"/>
          <w:color w:val="000000"/>
          <w:kern w:val="0"/>
          <w:szCs w:val="21"/>
        </w:rPr>
        <w:t>30%-50%</w:t>
      </w:r>
    </w:p>
    <w:p w14:paraId="14A44EF0">
      <w:pPr>
        <w:autoSpaceDE w:val="0"/>
        <w:autoSpaceDN w:val="0"/>
        <w:adjustRightInd w:val="0"/>
        <w:contextualSpacing/>
        <w:jc w:val="left"/>
        <w:rPr>
          <w:rFonts w:cs="Times New Roman" w:asciiTheme="minorEastAsia" w:hAnsiTheme="minorEastAsia"/>
          <w:color w:val="000000"/>
          <w:kern w:val="0"/>
          <w:szCs w:val="21"/>
        </w:rPr>
      </w:pPr>
      <w:r>
        <w:rPr>
          <w:rFonts w:cs="Times New Roman" w:asciiTheme="minorEastAsia" w:hAnsiTheme="minorEastAsia"/>
          <w:color w:val="000000"/>
          <w:kern w:val="0"/>
          <w:szCs w:val="21"/>
        </w:rPr>
        <w:t>D</w:t>
      </w:r>
      <w:r>
        <w:rPr>
          <w:rFonts w:hint="eastAsia" w:cs="Times New Roman" w:asciiTheme="minorEastAsia" w:hAnsiTheme="minorEastAsia"/>
          <w:color w:val="000000"/>
          <w:kern w:val="0"/>
          <w:szCs w:val="21"/>
        </w:rPr>
        <w:t>、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超过</w:t>
      </w:r>
      <w:r>
        <w:rPr>
          <w:rFonts w:cs="Times New Roman" w:asciiTheme="minorEastAsia" w:hAnsiTheme="minorEastAsia"/>
          <w:color w:val="000000"/>
          <w:kern w:val="0"/>
          <w:szCs w:val="21"/>
        </w:rPr>
        <w:t>50%</w:t>
      </w:r>
    </w:p>
    <w:p w14:paraId="1BD1C9E6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b/>
          <w:color w:val="000000"/>
          <w:kern w:val="0"/>
          <w:szCs w:val="21"/>
        </w:rPr>
      </w:pPr>
      <w:r>
        <w:rPr>
          <w:rFonts w:cs="仿宋" w:asciiTheme="minorEastAsia" w:hAnsiTheme="minorEastAsia"/>
          <w:b/>
          <w:color w:val="000000"/>
          <w:kern w:val="0"/>
          <w:szCs w:val="21"/>
        </w:rPr>
        <w:t>13</w:t>
      </w:r>
      <w:r>
        <w:rPr>
          <w:rFonts w:hint="eastAsia" w:cs="仿宋" w:asciiTheme="minorEastAsia" w:hAnsiTheme="minorEastAsia"/>
          <w:b/>
          <w:color w:val="000000"/>
          <w:kern w:val="0"/>
          <w:szCs w:val="21"/>
        </w:rPr>
        <w:t>、风险最低等级判断题目-最低风险问题</w:t>
      </w:r>
    </w:p>
    <w:p w14:paraId="2EDD68B5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仿宋" w:asciiTheme="minorEastAsia" w:hAnsiTheme="minorEastAsia"/>
          <w:color w:val="000000"/>
          <w:kern w:val="0"/>
          <w:szCs w:val="21"/>
        </w:rPr>
        <w:t>A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、不具有完全民事行为能力</w:t>
      </w:r>
    </w:p>
    <w:p w14:paraId="1B5877A3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仿宋" w:asciiTheme="minorEastAsia" w:hAnsiTheme="minorEastAsia"/>
          <w:color w:val="000000"/>
          <w:kern w:val="0"/>
          <w:szCs w:val="21"/>
        </w:rPr>
        <w:t>B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、没有风险容忍度或者不愿承受任何投资损失</w:t>
      </w:r>
    </w:p>
    <w:p w14:paraId="79FD5ADC">
      <w:pPr>
        <w:autoSpaceDE w:val="0"/>
        <w:autoSpaceDN w:val="0"/>
        <w:adjustRightInd w:val="0"/>
        <w:contextualSpacing/>
        <w:jc w:val="left"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cs="仿宋" w:asciiTheme="minorEastAsia" w:hAnsiTheme="minorEastAsia"/>
          <w:color w:val="000000"/>
          <w:kern w:val="0"/>
          <w:szCs w:val="21"/>
        </w:rPr>
        <w:t>C</w:t>
      </w:r>
      <w:r>
        <w:rPr>
          <w:rFonts w:hint="eastAsia" w:cs="仿宋" w:asciiTheme="minorEastAsia" w:hAnsiTheme="minorEastAsia"/>
          <w:color w:val="000000"/>
          <w:kern w:val="0"/>
          <w:szCs w:val="21"/>
        </w:rPr>
        <w:t>、以上都不是</w:t>
      </w:r>
    </w:p>
    <w:p w14:paraId="4B72B10A">
      <w:pPr>
        <w:contextualSpacing/>
        <w:rPr>
          <w:rFonts w:hint="eastAsia" w:cs="仿宋" w:asciiTheme="minorEastAsia" w:hAnsiTheme="minorEastAsia"/>
          <w:color w:val="000000"/>
          <w:kern w:val="0"/>
          <w:szCs w:val="21"/>
        </w:rPr>
      </w:pPr>
    </w:p>
    <w:p w14:paraId="3FA5FE12">
      <w:pPr>
        <w:contextualSpacing/>
        <w:rPr>
          <w:rFonts w:cs="仿宋" w:asciiTheme="minorEastAsia" w:hAnsiTheme="minorEastAsia"/>
          <w:color w:val="000000"/>
          <w:kern w:val="0"/>
          <w:szCs w:val="21"/>
        </w:rPr>
      </w:pPr>
      <w:r>
        <w:rPr>
          <w:rFonts w:hint="eastAsia" w:cs="仿宋" w:asciiTheme="minorEastAsia" w:hAnsiTheme="minorEastAsia"/>
          <w:color w:val="000000"/>
          <w:kern w:val="0"/>
          <w:szCs w:val="21"/>
        </w:rPr>
        <w:t>本人已如实填写，并了解了自己的风险承受类型和适合购买的产品类型。</w:t>
      </w:r>
    </w:p>
    <w:p w14:paraId="71EE6FD1">
      <w:pPr>
        <w:pStyle w:val="8"/>
        <w:rPr>
          <w:rFonts w:asciiTheme="minorEastAsia" w:hAnsiTheme="minorEastAsia" w:eastAsiaTheme="minorEastAsia"/>
          <w:sz w:val="21"/>
          <w:szCs w:val="21"/>
        </w:rPr>
      </w:pPr>
    </w:p>
    <w:p w14:paraId="5AF8507B">
      <w:pPr>
        <w:pStyle w:val="8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投资者签字：</w:t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                     </w:t>
      </w:r>
      <w:r>
        <w:rPr>
          <w:rFonts w:asciiTheme="minorEastAsia" w:hAnsiTheme="minorEastAsia" w:eastAsiaTheme="minorEastAsia"/>
          <w:sz w:val="21"/>
          <w:szCs w:val="21"/>
        </w:rPr>
        <w:t>日期：</w:t>
      </w:r>
    </w:p>
    <w:p w14:paraId="66F704E3">
      <w:pPr>
        <w:contextualSpacing/>
        <w:rPr>
          <w:rFonts w:asciiTheme="minorEastAsia" w:hAnsiTheme="minorEastAsia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D2FA8">
    <w:pPr>
      <w:pStyle w:val="3"/>
      <w:ind w:left="-525" w:leftChars="-250"/>
      <w:jc w:val="center"/>
    </w:pPr>
    <w:r>
      <w:rPr>
        <w:rFonts w:hint="eastAsia"/>
      </w:rPr>
      <w:t>直销</w:t>
    </w:r>
    <w:r>
      <w:t>柜台专线：31089000</w:t>
    </w:r>
    <w:r>
      <w:rPr>
        <w:rFonts w:hint="eastAsia"/>
      </w:rPr>
      <w:t>转2</w:t>
    </w:r>
    <w:r>
      <w:t xml:space="preserve">   直销</w:t>
    </w:r>
    <w:r>
      <w:rPr>
        <w:rFonts w:hint="eastAsia"/>
      </w:rPr>
      <w:t>交易邮箱/传真</w:t>
    </w:r>
    <w:r>
      <w:t>：</w:t>
    </w:r>
    <w:r>
      <w:fldChar w:fldCharType="begin"/>
    </w:r>
    <w:r>
      <w:instrText xml:space="preserve"> HYPERLINK "mailto:zxgt@gtfund.com" </w:instrText>
    </w:r>
    <w:r>
      <w:fldChar w:fldCharType="separate"/>
    </w:r>
    <w:r>
      <w:rPr>
        <w:rStyle w:val="7"/>
      </w:rPr>
      <w:t>zxgt@gtfund.com</w:t>
    </w:r>
    <w:r>
      <w:rPr>
        <w:rStyle w:val="7"/>
      </w:rPr>
      <w:fldChar w:fldCharType="end"/>
    </w:r>
    <w:r>
      <w:t xml:space="preserve"> /021-31081861</w:t>
    </w:r>
  </w:p>
  <w:p w14:paraId="13F60A1B">
    <w:pPr>
      <w:pStyle w:val="3"/>
      <w:ind w:left="-525" w:leftChars="-250"/>
      <w:jc w:val="center"/>
    </w:pPr>
    <w:r>
      <w:t>地址：</w:t>
    </w:r>
    <w:r>
      <w:rPr>
        <w:rFonts w:hint="eastAsia"/>
      </w:rPr>
      <w:t xml:space="preserve">上海市虹口区公平路18号8号楼嘉昱大厦16层 </w:t>
    </w:r>
    <w:r>
      <w:t xml:space="preserve"> 邮编：200082 </w:t>
    </w:r>
  </w:p>
  <w:p w14:paraId="11880F2E">
    <w:pPr>
      <w:pStyle w:val="3"/>
      <w:ind w:left="-525" w:leftChars="-25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DE21C">
    <w:pPr>
      <w:pStyle w:val="4"/>
      <w:jc w:val="left"/>
    </w:pPr>
    <w:r>
      <w:drawing>
        <wp:inline distT="0" distB="0" distL="0" distR="0">
          <wp:extent cx="1200150" cy="333375"/>
          <wp:effectExtent l="19050" t="0" r="0" b="0"/>
          <wp:docPr id="2" name="图片 1" descr="国泰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国泰标识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0F"/>
    <w:rsid w:val="000628A3"/>
    <w:rsid w:val="0029116A"/>
    <w:rsid w:val="00483D73"/>
    <w:rsid w:val="005F5DB1"/>
    <w:rsid w:val="006F18E2"/>
    <w:rsid w:val="00860A46"/>
    <w:rsid w:val="008C101C"/>
    <w:rsid w:val="0097366D"/>
    <w:rsid w:val="00A51320"/>
    <w:rsid w:val="00B169B3"/>
    <w:rsid w:val="00C838E8"/>
    <w:rsid w:val="00CC78B7"/>
    <w:rsid w:val="00E60E0F"/>
    <w:rsid w:val="00E776A8"/>
    <w:rsid w:val="08EC4213"/>
    <w:rsid w:val="2A414995"/>
    <w:rsid w:val="2C4370C5"/>
    <w:rsid w:val="414E3C9D"/>
    <w:rsid w:val="487A7B31"/>
    <w:rsid w:val="739015EB"/>
    <w:rsid w:val="74D8551C"/>
    <w:rsid w:val="7DE9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1303</Words>
  <Characters>1384</Characters>
  <Lines>9</Lines>
  <Paragraphs>2</Paragraphs>
  <TotalTime>100</TotalTime>
  <ScaleCrop>false</ScaleCrop>
  <LinksUpToDate>false</LinksUpToDate>
  <CharactersWithSpaces>1408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2017-08-08T01:37:00Z</dcterms:created>
  <dc:creator>黄灵杰:本部门员工</dc:creator>
  <cp:lastModifiedBy>灵杰</cp:lastModifiedBy>
  <dcterms:modified xsi:type="dcterms:W3CDTF">2026-07-13T08:40:48Z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eyJoZGlkIjoiOGJmMDA2NGQyMzZlNjM5MzA0YmFjNTc5NjdkZmMxODQiLCJ1c2VySWQiOiI0NDY5OTUzMzQifQ==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877AB837BE924103971D6DA88538E095_13</vt:lpwstr>
  </property>
</Properties>
</file>